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94070" w14:textId="48FC4EC9" w:rsidR="009A64E6" w:rsidRPr="006546C3" w:rsidRDefault="009A64E6" w:rsidP="006546C3">
      <w:pPr>
        <w:spacing w:after="0" w:line="240" w:lineRule="auto"/>
        <w:rPr>
          <w:rFonts w:cstheme="minorHAnsi"/>
          <w:b/>
          <w:bCs/>
          <w:color w:val="000000" w:themeColor="text1"/>
          <w:sz w:val="32"/>
          <w:szCs w:val="32"/>
        </w:rPr>
      </w:pPr>
      <w:r w:rsidRPr="006546C3">
        <w:rPr>
          <w:rFonts w:cstheme="minorHAnsi"/>
          <w:b/>
          <w:bCs/>
          <w:color w:val="000000" w:themeColor="text1"/>
          <w:sz w:val="32"/>
          <w:szCs w:val="32"/>
        </w:rPr>
        <w:t>Act 126 Professional Ethics and the Educator Discipline Act</w:t>
      </w:r>
      <w:r w:rsidR="006546C3" w:rsidRPr="006546C3">
        <w:rPr>
          <w:rFonts w:cstheme="minorHAnsi"/>
          <w:b/>
          <w:bCs/>
          <w:color w:val="000000" w:themeColor="text1"/>
          <w:sz w:val="32"/>
          <w:szCs w:val="32"/>
        </w:rPr>
        <w:t xml:space="preserve"> </w:t>
      </w:r>
      <w:r w:rsidR="006546C3" w:rsidRPr="00A00E29">
        <w:rPr>
          <w:rFonts w:cstheme="minorHAnsi"/>
          <w:b/>
          <w:bCs/>
          <w:color w:val="000000" w:themeColor="text1"/>
          <w:sz w:val="32"/>
          <w:szCs w:val="32"/>
          <w:highlight w:val="yellow"/>
        </w:rPr>
        <w:t>(PART 2 of ACT 126)</w:t>
      </w:r>
    </w:p>
    <w:p w14:paraId="376B0948" w14:textId="6A6B6D7B" w:rsidR="009A64E6" w:rsidRPr="006546C3" w:rsidRDefault="009A64E6" w:rsidP="006546C3">
      <w:pPr>
        <w:spacing w:after="0" w:line="240" w:lineRule="auto"/>
        <w:rPr>
          <w:rFonts w:cstheme="minorHAnsi"/>
        </w:rPr>
      </w:pPr>
      <w:r w:rsidRPr="006546C3">
        <w:rPr>
          <w:rFonts w:cstheme="minorHAnsi"/>
        </w:rPr>
        <w:t>The course consists of</w:t>
      </w:r>
      <w:r w:rsidR="00A00E29">
        <w:rPr>
          <w:rFonts w:cstheme="minorHAnsi"/>
        </w:rPr>
        <w:t xml:space="preserve"> the following</w:t>
      </w:r>
      <w:r w:rsidR="006546C3" w:rsidRPr="006546C3">
        <w:rPr>
          <w:rFonts w:cstheme="minorHAnsi"/>
        </w:rPr>
        <w:t>: Overview of the Educator Discipline System (35</w:t>
      </w:r>
      <w:r w:rsidR="00A00E29">
        <w:rPr>
          <w:rFonts w:cstheme="minorHAnsi"/>
        </w:rPr>
        <w:t>minutes</w:t>
      </w:r>
      <w:r w:rsidR="006546C3" w:rsidRPr="006546C3">
        <w:rPr>
          <w:rFonts w:cstheme="minorHAnsi"/>
        </w:rPr>
        <w:t>), Establishing and Maintaining Appropriate Boundaries (47</w:t>
      </w:r>
      <w:r w:rsidR="00A00E29">
        <w:rPr>
          <w:rFonts w:cstheme="minorHAnsi"/>
        </w:rPr>
        <w:t xml:space="preserve"> minutes</w:t>
      </w:r>
      <w:r w:rsidR="006546C3" w:rsidRPr="006546C3">
        <w:rPr>
          <w:rFonts w:cstheme="minorHAnsi"/>
        </w:rPr>
        <w:t>), Sexual Misconduct (1</w:t>
      </w:r>
      <w:r w:rsidR="00A00E29">
        <w:rPr>
          <w:rFonts w:cstheme="minorHAnsi"/>
        </w:rPr>
        <w:t>hour 24 minutes</w:t>
      </w:r>
      <w:r w:rsidR="006546C3" w:rsidRPr="006546C3">
        <w:rPr>
          <w:rFonts w:cstheme="minorHAnsi"/>
        </w:rPr>
        <w:t>), and Protecting Students and Mandatory Reporting (20</w:t>
      </w:r>
      <w:r w:rsidR="00A00E29">
        <w:rPr>
          <w:rFonts w:cstheme="minorHAnsi"/>
        </w:rPr>
        <w:t xml:space="preserve"> minutes</w:t>
      </w:r>
      <w:r w:rsidR="006546C3" w:rsidRPr="006546C3">
        <w:rPr>
          <w:rFonts w:cstheme="minorHAnsi"/>
        </w:rPr>
        <w:t xml:space="preserve"> Track A, </w:t>
      </w:r>
      <w:r w:rsidR="00A00E29">
        <w:rPr>
          <w:rFonts w:cstheme="minorHAnsi"/>
        </w:rPr>
        <w:t>23 minutes</w:t>
      </w:r>
      <w:r w:rsidR="006546C3" w:rsidRPr="006546C3">
        <w:rPr>
          <w:rFonts w:cstheme="minorHAnsi"/>
        </w:rPr>
        <w:t xml:space="preserve"> Track B, or </w:t>
      </w:r>
      <w:r w:rsidR="00A00E29">
        <w:rPr>
          <w:rFonts w:cstheme="minorHAnsi"/>
        </w:rPr>
        <w:t>17 minutes</w:t>
      </w:r>
      <w:r w:rsidR="006546C3" w:rsidRPr="006546C3">
        <w:rPr>
          <w:rFonts w:cstheme="minorHAnsi"/>
        </w:rPr>
        <w:t xml:space="preserve"> Track C) and</w:t>
      </w:r>
      <w:r w:rsidRPr="006546C3">
        <w:rPr>
          <w:rFonts w:cstheme="minorHAnsi"/>
        </w:rPr>
        <w:t xml:space="preserve"> requires a passing score on the Assessment to receive credit and Certificate. The total time required to complete the course is approximately three hours. All content must be viewed prior to taking the Assessment.</w:t>
      </w:r>
    </w:p>
    <w:p w14:paraId="303BC7BF" w14:textId="77777777" w:rsidR="006546C3" w:rsidRPr="006546C3" w:rsidRDefault="006546C3" w:rsidP="006546C3">
      <w:pPr>
        <w:spacing w:after="0" w:line="240" w:lineRule="auto"/>
        <w:rPr>
          <w:rFonts w:cstheme="minorHAnsi"/>
          <w:b/>
          <w:bCs/>
        </w:rPr>
      </w:pPr>
    </w:p>
    <w:p w14:paraId="28EB53A5" w14:textId="2DD565F2" w:rsidR="009A64E6" w:rsidRPr="006546C3" w:rsidRDefault="009A64E6" w:rsidP="006546C3">
      <w:pPr>
        <w:spacing w:after="0" w:line="240" w:lineRule="auto"/>
        <w:rPr>
          <w:rFonts w:cstheme="minorHAnsi"/>
          <w:b/>
          <w:bCs/>
        </w:rPr>
      </w:pPr>
      <w:r w:rsidRPr="006546C3">
        <w:rPr>
          <w:rFonts w:cstheme="minorHAnsi"/>
          <w:b/>
          <w:bCs/>
        </w:rPr>
        <w:t>For technical assistance, please contact 1-877-973-3727, helpdesk@pdeas.org or visit the SAS Portal Help</w:t>
      </w:r>
      <w:r w:rsidR="006546C3">
        <w:rPr>
          <w:rFonts w:cstheme="minorHAnsi"/>
          <w:b/>
          <w:bCs/>
        </w:rPr>
        <w:t xml:space="preserve"> </w:t>
      </w:r>
      <w:r w:rsidRPr="006546C3">
        <w:rPr>
          <w:rFonts w:cstheme="minorHAnsi"/>
          <w:b/>
          <w:bCs/>
        </w:rPr>
        <w:t>Desk.</w:t>
      </w:r>
    </w:p>
    <w:p w14:paraId="56A6E592" w14:textId="77777777" w:rsidR="006546C3" w:rsidRPr="006546C3" w:rsidRDefault="006546C3" w:rsidP="006546C3">
      <w:pPr>
        <w:spacing w:after="0" w:line="240" w:lineRule="auto"/>
        <w:rPr>
          <w:rFonts w:cstheme="minorHAnsi"/>
        </w:rPr>
      </w:pPr>
    </w:p>
    <w:p w14:paraId="6E9F3A2C" w14:textId="1DE6CC24" w:rsidR="00C3339F" w:rsidRPr="006546C3" w:rsidRDefault="009A64E6" w:rsidP="006546C3">
      <w:pPr>
        <w:spacing w:after="0" w:line="240" w:lineRule="auto"/>
        <w:rPr>
          <w:rFonts w:eastAsia="Times New Roman" w:cstheme="minorHAnsi"/>
          <w:color w:val="000000" w:themeColor="text1"/>
        </w:rPr>
      </w:pPr>
      <w:r w:rsidRPr="006546C3">
        <w:rPr>
          <w:rFonts w:cstheme="minorHAnsi"/>
        </w:rPr>
        <w:t xml:space="preserve">1. Access: </w:t>
      </w:r>
      <w:hyperlink r:id="rId4" w:history="1">
        <w:r w:rsidR="00C3339F" w:rsidRPr="00A00E29">
          <w:rPr>
            <w:rStyle w:val="Hyperlink"/>
            <w:rFonts w:eastAsia="Times New Roman" w:cstheme="minorHAnsi"/>
            <w:b/>
            <w:bCs/>
          </w:rPr>
          <w:t xml:space="preserve">http://pdesas.org/default.aspx </w:t>
        </w:r>
      </w:hyperlink>
      <w:r w:rsidR="006546C3" w:rsidRPr="006546C3">
        <w:rPr>
          <w:rFonts w:eastAsia="Times New Roman" w:cstheme="minorHAnsi"/>
          <w:color w:val="000000" w:themeColor="text1"/>
        </w:rPr>
        <w:t xml:space="preserve">and select </w:t>
      </w:r>
      <w:r w:rsidR="006546C3" w:rsidRPr="00E37A7C">
        <w:rPr>
          <w:rFonts w:eastAsia="Times New Roman" w:cstheme="minorHAnsi"/>
          <w:b/>
          <w:bCs/>
          <w:color w:val="000000" w:themeColor="text1"/>
        </w:rPr>
        <w:t>Register</w:t>
      </w:r>
      <w:r w:rsidR="006546C3" w:rsidRPr="006546C3">
        <w:rPr>
          <w:rFonts w:eastAsia="Times New Roman" w:cstheme="minorHAnsi"/>
          <w:color w:val="000000" w:themeColor="text1"/>
        </w:rPr>
        <w:t xml:space="preserve"> from the Login menu in the upper right-hand corner.</w:t>
      </w:r>
    </w:p>
    <w:p w14:paraId="5926457C" w14:textId="490EE509" w:rsidR="00C3339F" w:rsidRPr="006546C3" w:rsidRDefault="00C3339F" w:rsidP="006546C3">
      <w:pPr>
        <w:spacing w:after="0" w:line="240" w:lineRule="auto"/>
        <w:rPr>
          <w:rFonts w:eastAsia="Times New Roman" w:cstheme="minorHAnsi"/>
          <w:color w:val="000000" w:themeColor="text1"/>
        </w:rPr>
      </w:pPr>
    </w:p>
    <w:p w14:paraId="52D71D0C" w14:textId="0BB66076" w:rsidR="009A64E6" w:rsidRPr="006546C3" w:rsidRDefault="009A64E6" w:rsidP="006546C3">
      <w:pPr>
        <w:spacing w:after="0" w:line="240" w:lineRule="auto"/>
        <w:rPr>
          <w:rFonts w:cstheme="minorHAnsi"/>
        </w:rPr>
      </w:pPr>
      <w:r w:rsidRPr="006546C3">
        <w:rPr>
          <w:rFonts w:cstheme="minorHAnsi"/>
        </w:rPr>
        <w:t xml:space="preserve">2. Select </w:t>
      </w:r>
      <w:r w:rsidRPr="006546C3">
        <w:rPr>
          <w:rFonts w:cstheme="minorHAnsi"/>
          <w:b/>
          <w:bCs/>
        </w:rPr>
        <w:t>Register for an Account</w:t>
      </w:r>
      <w:r w:rsidRPr="006546C3">
        <w:rPr>
          <w:rFonts w:cstheme="minorHAnsi"/>
        </w:rPr>
        <w:t xml:space="preserve"> located at the top right of the navigation bar.</w:t>
      </w:r>
    </w:p>
    <w:p w14:paraId="27F124DC" w14:textId="77777777" w:rsidR="006546C3" w:rsidRDefault="006546C3" w:rsidP="006546C3">
      <w:pPr>
        <w:spacing w:after="0" w:line="240" w:lineRule="auto"/>
        <w:rPr>
          <w:rFonts w:cstheme="minorHAnsi"/>
        </w:rPr>
      </w:pPr>
    </w:p>
    <w:p w14:paraId="21823592" w14:textId="6EB4C4DC" w:rsidR="009A64E6" w:rsidRPr="006546C3" w:rsidRDefault="009A64E6" w:rsidP="006546C3">
      <w:pPr>
        <w:spacing w:after="0" w:line="240" w:lineRule="auto"/>
        <w:rPr>
          <w:rFonts w:cstheme="minorHAnsi"/>
        </w:rPr>
      </w:pPr>
      <w:r w:rsidRPr="006546C3">
        <w:rPr>
          <w:rFonts w:cstheme="minorHAnsi"/>
        </w:rPr>
        <w:t xml:space="preserve">3. Enter </w:t>
      </w:r>
      <w:r w:rsidRPr="006546C3">
        <w:rPr>
          <w:rFonts w:cstheme="minorHAnsi"/>
          <w:b/>
          <w:bCs/>
        </w:rPr>
        <w:t>First Name, Last Name, Email Address and Password</w:t>
      </w:r>
      <w:r w:rsidRPr="006546C3">
        <w:rPr>
          <w:rFonts w:cstheme="minorHAnsi"/>
        </w:rPr>
        <w:t xml:space="preserve"> to register for an account and select </w:t>
      </w:r>
      <w:r w:rsidRPr="006546C3">
        <w:rPr>
          <w:rFonts w:cstheme="minorHAnsi"/>
          <w:b/>
          <w:bCs/>
        </w:rPr>
        <w:t>Create.</w:t>
      </w:r>
    </w:p>
    <w:p w14:paraId="02FB725A" w14:textId="77777777" w:rsidR="006546C3" w:rsidRDefault="006546C3" w:rsidP="006546C3">
      <w:pPr>
        <w:spacing w:after="0" w:line="240" w:lineRule="auto"/>
        <w:rPr>
          <w:rFonts w:cstheme="minorHAnsi"/>
        </w:rPr>
      </w:pPr>
    </w:p>
    <w:p w14:paraId="15526BA0" w14:textId="691FC5FD" w:rsidR="009A64E6" w:rsidRPr="006546C3" w:rsidRDefault="009A64E6" w:rsidP="006546C3">
      <w:pPr>
        <w:spacing w:after="0" w:line="240" w:lineRule="auto"/>
        <w:rPr>
          <w:rFonts w:cstheme="minorHAnsi"/>
        </w:rPr>
      </w:pPr>
      <w:r w:rsidRPr="006546C3">
        <w:rPr>
          <w:rFonts w:cstheme="minorHAnsi"/>
        </w:rPr>
        <w:t xml:space="preserve">4. Select </w:t>
      </w:r>
      <w:r w:rsidRPr="006546C3">
        <w:rPr>
          <w:rFonts w:cstheme="minorHAnsi"/>
          <w:b/>
          <w:bCs/>
        </w:rPr>
        <w:t>My SAS Tools</w:t>
      </w:r>
      <w:r w:rsidRPr="006546C3">
        <w:rPr>
          <w:rFonts w:cstheme="minorHAnsi"/>
        </w:rPr>
        <w:t xml:space="preserve"> drop-down located at the top right of the navigation bar, under the user’s name.</w:t>
      </w:r>
    </w:p>
    <w:p w14:paraId="5CA13A70" w14:textId="77777777" w:rsidR="006546C3" w:rsidRDefault="006546C3" w:rsidP="006546C3">
      <w:pPr>
        <w:spacing w:after="0" w:line="240" w:lineRule="auto"/>
        <w:rPr>
          <w:rFonts w:cstheme="minorHAnsi"/>
        </w:rPr>
      </w:pPr>
    </w:p>
    <w:p w14:paraId="15F7A0D6" w14:textId="035E8858" w:rsidR="009A64E6" w:rsidRPr="006546C3" w:rsidRDefault="009A64E6" w:rsidP="006546C3">
      <w:pPr>
        <w:spacing w:after="0" w:line="240" w:lineRule="auto"/>
        <w:rPr>
          <w:rFonts w:cstheme="minorHAnsi"/>
        </w:rPr>
      </w:pPr>
      <w:r w:rsidRPr="006546C3">
        <w:rPr>
          <w:rFonts w:cstheme="minorHAnsi"/>
        </w:rPr>
        <w:t xml:space="preserve">5. Select </w:t>
      </w:r>
      <w:r w:rsidRPr="006546C3">
        <w:rPr>
          <w:rFonts w:cstheme="minorHAnsi"/>
          <w:b/>
          <w:bCs/>
        </w:rPr>
        <w:t>PD Center</w:t>
      </w:r>
      <w:r w:rsidRPr="006546C3">
        <w:rPr>
          <w:rFonts w:cstheme="minorHAnsi"/>
        </w:rPr>
        <w:t xml:space="preserve"> from the options which display from the drop-down.</w:t>
      </w:r>
    </w:p>
    <w:p w14:paraId="643C2A7C" w14:textId="77777777" w:rsidR="006546C3" w:rsidRDefault="006546C3" w:rsidP="006546C3">
      <w:pPr>
        <w:spacing w:after="0" w:line="240" w:lineRule="auto"/>
        <w:rPr>
          <w:rFonts w:cstheme="minorHAnsi"/>
        </w:rPr>
      </w:pPr>
    </w:p>
    <w:p w14:paraId="57E1DEB3" w14:textId="304BBA70" w:rsidR="009A64E6" w:rsidRPr="006546C3" w:rsidRDefault="009A64E6" w:rsidP="006546C3">
      <w:pPr>
        <w:spacing w:after="0" w:line="240" w:lineRule="auto"/>
        <w:rPr>
          <w:rFonts w:cstheme="minorHAnsi"/>
        </w:rPr>
      </w:pPr>
      <w:r w:rsidRPr="006546C3">
        <w:rPr>
          <w:rFonts w:cstheme="minorHAnsi"/>
        </w:rPr>
        <w:t xml:space="preserve">6. Select </w:t>
      </w:r>
      <w:r w:rsidRPr="006546C3">
        <w:rPr>
          <w:rFonts w:cstheme="minorHAnsi"/>
          <w:b/>
          <w:bCs/>
        </w:rPr>
        <w:t>Course Catalog Registration</w:t>
      </w:r>
      <w:r w:rsidRPr="006546C3">
        <w:rPr>
          <w:rFonts w:cstheme="minorHAnsi"/>
        </w:rPr>
        <w:t xml:space="preserve"> from the options which display from the drop-down. </w:t>
      </w:r>
    </w:p>
    <w:p w14:paraId="16BF0886" w14:textId="77777777" w:rsidR="006546C3" w:rsidRDefault="006546C3" w:rsidP="006546C3">
      <w:pPr>
        <w:spacing w:after="0" w:line="240" w:lineRule="auto"/>
        <w:rPr>
          <w:rFonts w:cstheme="minorHAnsi"/>
        </w:rPr>
      </w:pPr>
    </w:p>
    <w:p w14:paraId="3F45E15B" w14:textId="7336C20B" w:rsidR="009A64E6" w:rsidRPr="006546C3" w:rsidRDefault="009A64E6" w:rsidP="006546C3">
      <w:pPr>
        <w:spacing w:after="0" w:line="240" w:lineRule="auto"/>
        <w:rPr>
          <w:rFonts w:cstheme="minorHAnsi"/>
        </w:rPr>
      </w:pPr>
      <w:r w:rsidRPr="006546C3">
        <w:rPr>
          <w:rFonts w:cstheme="minorHAnsi"/>
        </w:rPr>
        <w:t xml:space="preserve">7. Under </w:t>
      </w:r>
      <w:r w:rsidRPr="006546C3">
        <w:rPr>
          <w:rFonts w:cstheme="minorHAnsi"/>
          <w:b/>
          <w:bCs/>
        </w:rPr>
        <w:t>Course Options,</w:t>
      </w:r>
      <w:r w:rsidRPr="006546C3">
        <w:rPr>
          <w:rFonts w:cstheme="minorHAnsi"/>
        </w:rPr>
        <w:t xml:space="preserve"> select Act </w:t>
      </w:r>
      <w:r w:rsidRPr="006546C3">
        <w:rPr>
          <w:rFonts w:cstheme="minorHAnsi"/>
          <w:b/>
          <w:bCs/>
        </w:rPr>
        <w:t>126.</w:t>
      </w:r>
    </w:p>
    <w:p w14:paraId="32CFA657" w14:textId="77777777" w:rsidR="006546C3" w:rsidRDefault="006546C3" w:rsidP="006546C3">
      <w:pPr>
        <w:spacing w:after="0" w:line="240" w:lineRule="auto"/>
        <w:rPr>
          <w:rFonts w:cstheme="minorHAnsi"/>
        </w:rPr>
      </w:pPr>
    </w:p>
    <w:p w14:paraId="0550C851" w14:textId="39B6BF24" w:rsidR="009A64E6" w:rsidRPr="006546C3" w:rsidRDefault="009A64E6" w:rsidP="006546C3">
      <w:pPr>
        <w:spacing w:after="0" w:line="240" w:lineRule="auto"/>
        <w:rPr>
          <w:rFonts w:cstheme="minorHAnsi"/>
        </w:rPr>
      </w:pPr>
      <w:r w:rsidRPr="006546C3">
        <w:rPr>
          <w:rFonts w:cstheme="minorHAnsi"/>
        </w:rPr>
        <w:t xml:space="preserve">8. Please </w:t>
      </w:r>
      <w:r w:rsidRPr="006546C3">
        <w:rPr>
          <w:rFonts w:cstheme="minorHAnsi"/>
          <w:b/>
          <w:bCs/>
        </w:rPr>
        <w:t>select the appropriate track</w:t>
      </w:r>
      <w:r w:rsidRPr="006546C3">
        <w:rPr>
          <w:rFonts w:cstheme="minorHAnsi"/>
        </w:rPr>
        <w:t xml:space="preserve"> based on employee classification.</w:t>
      </w:r>
    </w:p>
    <w:p w14:paraId="54F494EF" w14:textId="77777777" w:rsidR="006546C3" w:rsidRDefault="006546C3" w:rsidP="006546C3">
      <w:pPr>
        <w:spacing w:after="0" w:line="240" w:lineRule="auto"/>
        <w:rPr>
          <w:rFonts w:cstheme="minorHAnsi"/>
        </w:rPr>
      </w:pPr>
    </w:p>
    <w:p w14:paraId="07218CFE" w14:textId="632D1E69" w:rsidR="009A64E6" w:rsidRPr="006546C3" w:rsidRDefault="009A64E6" w:rsidP="006546C3">
      <w:pPr>
        <w:spacing w:after="0" w:line="240" w:lineRule="auto"/>
        <w:rPr>
          <w:rFonts w:cstheme="minorHAnsi"/>
        </w:rPr>
      </w:pPr>
      <w:r w:rsidRPr="006546C3">
        <w:rPr>
          <w:rFonts w:cstheme="minorHAnsi"/>
        </w:rPr>
        <w:t xml:space="preserve">9. Under the </w:t>
      </w:r>
      <w:r w:rsidRPr="006546C3">
        <w:rPr>
          <w:rFonts w:cstheme="minorHAnsi"/>
          <w:b/>
          <w:bCs/>
        </w:rPr>
        <w:t>Options</w:t>
      </w:r>
      <w:r w:rsidRPr="006546C3">
        <w:rPr>
          <w:rFonts w:cstheme="minorHAnsi"/>
        </w:rPr>
        <w:t xml:space="preserve"> drop down, select </w:t>
      </w:r>
      <w:r w:rsidRPr="006546C3">
        <w:rPr>
          <w:rFonts w:cstheme="minorHAnsi"/>
          <w:b/>
          <w:bCs/>
        </w:rPr>
        <w:t>Register</w:t>
      </w:r>
      <w:r w:rsidRPr="006546C3">
        <w:rPr>
          <w:rFonts w:cstheme="minorHAnsi"/>
        </w:rPr>
        <w:t>.</w:t>
      </w:r>
    </w:p>
    <w:p w14:paraId="67EEAF52" w14:textId="77777777" w:rsidR="006546C3" w:rsidRDefault="006546C3" w:rsidP="006546C3">
      <w:pPr>
        <w:spacing w:after="0" w:line="240" w:lineRule="auto"/>
        <w:rPr>
          <w:rFonts w:cstheme="minorHAnsi"/>
        </w:rPr>
      </w:pPr>
    </w:p>
    <w:p w14:paraId="2D2A9D47" w14:textId="46027927" w:rsidR="009A64E6" w:rsidRPr="006546C3" w:rsidRDefault="009A64E6" w:rsidP="006546C3">
      <w:pPr>
        <w:spacing w:after="0" w:line="240" w:lineRule="auto"/>
        <w:rPr>
          <w:rFonts w:cstheme="minorHAnsi"/>
        </w:rPr>
      </w:pPr>
      <w:r w:rsidRPr="006546C3">
        <w:rPr>
          <w:rFonts w:cstheme="minorHAnsi"/>
        </w:rPr>
        <w:t xml:space="preserve">10. Select </w:t>
      </w:r>
      <w:r w:rsidRPr="006546C3">
        <w:rPr>
          <w:rFonts w:cstheme="minorHAnsi"/>
          <w:b/>
          <w:bCs/>
        </w:rPr>
        <w:t>Register</w:t>
      </w:r>
      <w:r w:rsidRPr="006546C3">
        <w:rPr>
          <w:rFonts w:cstheme="minorHAnsi"/>
        </w:rPr>
        <w:t xml:space="preserve"> from the Course Registration information.</w:t>
      </w:r>
    </w:p>
    <w:p w14:paraId="16881150" w14:textId="77777777" w:rsidR="006546C3" w:rsidRDefault="006546C3" w:rsidP="006546C3">
      <w:pPr>
        <w:spacing w:after="0" w:line="240" w:lineRule="auto"/>
        <w:rPr>
          <w:rFonts w:cstheme="minorHAnsi"/>
        </w:rPr>
      </w:pPr>
    </w:p>
    <w:p w14:paraId="56E07EB0" w14:textId="4AC8DB0B" w:rsidR="009A64E6" w:rsidRPr="006546C3" w:rsidRDefault="009A64E6" w:rsidP="006546C3">
      <w:pPr>
        <w:spacing w:after="0" w:line="240" w:lineRule="auto"/>
        <w:rPr>
          <w:rFonts w:cstheme="minorHAnsi"/>
        </w:rPr>
      </w:pPr>
      <w:r w:rsidRPr="006546C3">
        <w:rPr>
          <w:rFonts w:cstheme="minorHAnsi"/>
        </w:rPr>
        <w:t xml:space="preserve">11. Select the </w:t>
      </w:r>
      <w:r w:rsidRPr="006546C3">
        <w:rPr>
          <w:rFonts w:cstheme="minorHAnsi"/>
          <w:b/>
          <w:bCs/>
        </w:rPr>
        <w:t xml:space="preserve">Menu </w:t>
      </w:r>
      <w:r w:rsidRPr="006546C3">
        <w:rPr>
          <w:rFonts w:cstheme="minorHAnsi"/>
        </w:rPr>
        <w:t>drop-down located at the top right of the navigation bar, to the right of the user’s name.</w:t>
      </w:r>
    </w:p>
    <w:p w14:paraId="7059D749" w14:textId="77777777" w:rsidR="006546C3" w:rsidRDefault="006546C3" w:rsidP="006546C3">
      <w:pPr>
        <w:spacing w:after="0" w:line="240" w:lineRule="auto"/>
        <w:rPr>
          <w:rFonts w:cstheme="minorHAnsi"/>
        </w:rPr>
      </w:pPr>
    </w:p>
    <w:p w14:paraId="7D69143B" w14:textId="7D0CD525" w:rsidR="009A64E6" w:rsidRPr="006546C3" w:rsidRDefault="009A64E6" w:rsidP="006546C3">
      <w:pPr>
        <w:spacing w:after="0" w:line="240" w:lineRule="auto"/>
        <w:rPr>
          <w:rFonts w:cstheme="minorHAnsi"/>
        </w:rPr>
      </w:pPr>
      <w:r w:rsidRPr="006546C3">
        <w:rPr>
          <w:rFonts w:cstheme="minorHAnsi"/>
        </w:rPr>
        <w:t xml:space="preserve">12. Select </w:t>
      </w:r>
      <w:r w:rsidRPr="006546C3">
        <w:rPr>
          <w:rFonts w:cstheme="minorHAnsi"/>
          <w:b/>
          <w:bCs/>
        </w:rPr>
        <w:t>My Classes</w:t>
      </w:r>
      <w:r w:rsidRPr="006546C3">
        <w:rPr>
          <w:rFonts w:cstheme="minorHAnsi"/>
        </w:rPr>
        <w:t xml:space="preserve"> from the options which display from the drop-down.</w:t>
      </w:r>
    </w:p>
    <w:p w14:paraId="73E20866" w14:textId="77777777" w:rsidR="006546C3" w:rsidRDefault="006546C3" w:rsidP="006546C3">
      <w:pPr>
        <w:spacing w:after="0" w:line="240" w:lineRule="auto"/>
        <w:rPr>
          <w:rFonts w:cstheme="minorHAnsi"/>
        </w:rPr>
      </w:pPr>
    </w:p>
    <w:p w14:paraId="23AB3759" w14:textId="41A50C9F" w:rsidR="009A64E6" w:rsidRPr="006546C3" w:rsidRDefault="009A64E6" w:rsidP="006546C3">
      <w:pPr>
        <w:spacing w:after="0" w:line="240" w:lineRule="auto"/>
        <w:rPr>
          <w:rFonts w:cstheme="minorHAnsi"/>
        </w:rPr>
      </w:pPr>
      <w:r w:rsidRPr="006546C3">
        <w:rPr>
          <w:rFonts w:cstheme="minorHAnsi"/>
        </w:rPr>
        <w:t xml:space="preserve">13. Select the </w:t>
      </w:r>
      <w:r w:rsidRPr="006546C3">
        <w:rPr>
          <w:rFonts w:cstheme="minorHAnsi"/>
          <w:b/>
          <w:bCs/>
        </w:rPr>
        <w:t>Self-Paced</w:t>
      </w:r>
      <w:r w:rsidRPr="006546C3">
        <w:rPr>
          <w:rFonts w:cstheme="minorHAnsi"/>
        </w:rPr>
        <w:t xml:space="preserve"> tab to view the active Act 126 course registration.</w:t>
      </w:r>
    </w:p>
    <w:p w14:paraId="7AE42AAF" w14:textId="77777777" w:rsidR="006546C3" w:rsidRDefault="006546C3" w:rsidP="006546C3">
      <w:pPr>
        <w:spacing w:after="0" w:line="240" w:lineRule="auto"/>
        <w:rPr>
          <w:rFonts w:cstheme="minorHAnsi"/>
        </w:rPr>
      </w:pPr>
    </w:p>
    <w:p w14:paraId="7A7719B6" w14:textId="41692CB0" w:rsidR="009A64E6" w:rsidRPr="006546C3" w:rsidRDefault="009A64E6" w:rsidP="006546C3">
      <w:pPr>
        <w:spacing w:after="0" w:line="240" w:lineRule="auto"/>
        <w:rPr>
          <w:rFonts w:cstheme="minorHAnsi"/>
        </w:rPr>
      </w:pPr>
      <w:r w:rsidRPr="006546C3">
        <w:rPr>
          <w:rFonts w:cstheme="minorHAnsi"/>
        </w:rPr>
        <w:t xml:space="preserve">14. Select the </w:t>
      </w:r>
      <w:r w:rsidRPr="006546C3">
        <w:rPr>
          <w:rFonts w:cstheme="minorHAnsi"/>
          <w:b/>
          <w:bCs/>
        </w:rPr>
        <w:t>Options</w:t>
      </w:r>
      <w:r w:rsidRPr="006546C3">
        <w:rPr>
          <w:rFonts w:cstheme="minorHAnsi"/>
        </w:rPr>
        <w:t xml:space="preserve"> drop down and select </w:t>
      </w:r>
      <w:r w:rsidRPr="006546C3">
        <w:rPr>
          <w:rFonts w:cstheme="minorHAnsi"/>
          <w:b/>
          <w:bCs/>
        </w:rPr>
        <w:t>Go to Classroom.</w:t>
      </w:r>
      <w:r w:rsidRPr="006546C3">
        <w:rPr>
          <w:rFonts w:cstheme="minorHAnsi"/>
        </w:rPr>
        <w:t xml:space="preserve"> </w:t>
      </w:r>
    </w:p>
    <w:p w14:paraId="107A7974" w14:textId="77777777" w:rsidR="006546C3" w:rsidRDefault="006546C3" w:rsidP="006546C3">
      <w:pPr>
        <w:spacing w:after="0" w:line="240" w:lineRule="auto"/>
        <w:rPr>
          <w:rFonts w:cstheme="minorHAnsi"/>
        </w:rPr>
      </w:pPr>
    </w:p>
    <w:p w14:paraId="41612EB2" w14:textId="1E46781C" w:rsidR="009A64E6" w:rsidRPr="006546C3" w:rsidRDefault="009A64E6" w:rsidP="006546C3">
      <w:pPr>
        <w:spacing w:after="0" w:line="240" w:lineRule="auto"/>
        <w:rPr>
          <w:rFonts w:cstheme="minorHAnsi"/>
        </w:rPr>
      </w:pPr>
      <w:r w:rsidRPr="006546C3">
        <w:rPr>
          <w:rFonts w:cstheme="minorHAnsi"/>
        </w:rPr>
        <w:t xml:space="preserve">15. Begin the course by reading the Professional Ethics and the Educator Discipline Act introduction and clicking the </w:t>
      </w:r>
      <w:r w:rsidRPr="006546C3">
        <w:rPr>
          <w:rFonts w:cstheme="minorHAnsi"/>
          <w:b/>
          <w:bCs/>
        </w:rPr>
        <w:t xml:space="preserve">Next </w:t>
      </w:r>
      <w:r w:rsidRPr="006546C3">
        <w:rPr>
          <w:rFonts w:cstheme="minorHAnsi"/>
        </w:rPr>
        <w:t xml:space="preserve">button at the bottom of each page. The course is considered a three (3) hour continuing education credit course and consists of four (4) modules, requiring a passing score on the assessment to receive credit and a certificate. The course provides various resources throughout the track, including video content which is important to the course. All resources can be accessed again at the end of the course through a bibliography. To go through the course, simply select the “Next” buttons at the bottom of the page and within each module – these buttons will only become available after completing the entire module or slide within a module. Users can always move backwards and forwards through slides that have already been completed. It is recommended that the course be completed in a single viewing; however, the course may be paused and returned to </w:t>
      </w:r>
      <w:proofErr w:type="gramStart"/>
      <w:r w:rsidRPr="006546C3">
        <w:rPr>
          <w:rFonts w:cstheme="minorHAnsi"/>
        </w:rPr>
        <w:t>at a later time</w:t>
      </w:r>
      <w:proofErr w:type="gramEnd"/>
      <w:r w:rsidRPr="006546C3">
        <w:rPr>
          <w:rFonts w:cstheme="minorHAnsi"/>
        </w:rPr>
        <w:t>. Users only have 60 days to complete the registered Act 126 course.</w:t>
      </w:r>
    </w:p>
    <w:p w14:paraId="48493084" w14:textId="45922238" w:rsidR="009A64E6" w:rsidRPr="006546C3" w:rsidRDefault="009A64E6" w:rsidP="006546C3">
      <w:pPr>
        <w:spacing w:after="0" w:line="240" w:lineRule="auto"/>
        <w:ind w:firstLine="720"/>
        <w:rPr>
          <w:rFonts w:cstheme="minorHAnsi"/>
          <w:i/>
          <w:iCs/>
        </w:rPr>
      </w:pPr>
      <w:r w:rsidRPr="006546C3">
        <w:rPr>
          <w:rFonts w:cstheme="minorHAnsi"/>
          <w:b/>
          <w:bCs/>
          <w:i/>
          <w:iCs/>
        </w:rPr>
        <w:t>NOTE:</w:t>
      </w:r>
      <w:r w:rsidRPr="006546C3">
        <w:rPr>
          <w:rFonts w:cstheme="minorHAnsi"/>
          <w:i/>
          <w:iCs/>
        </w:rPr>
        <w:t xml:space="preserve"> Progress within a training module will only be saved if the user </w:t>
      </w:r>
      <w:proofErr w:type="gramStart"/>
      <w:r w:rsidRPr="006546C3">
        <w:rPr>
          <w:rFonts w:cstheme="minorHAnsi"/>
          <w:i/>
          <w:iCs/>
        </w:rPr>
        <w:t>continues on</w:t>
      </w:r>
      <w:proofErr w:type="gramEnd"/>
      <w:r w:rsidRPr="006546C3">
        <w:rPr>
          <w:rFonts w:cstheme="minorHAnsi"/>
          <w:i/>
          <w:iCs/>
        </w:rPr>
        <w:t xml:space="preserve"> the same computer.</w:t>
      </w:r>
    </w:p>
    <w:p w14:paraId="01739090" w14:textId="77777777" w:rsidR="006546C3" w:rsidRDefault="006546C3" w:rsidP="006546C3">
      <w:pPr>
        <w:spacing w:after="0" w:line="240" w:lineRule="auto"/>
        <w:rPr>
          <w:rFonts w:cstheme="minorHAnsi"/>
        </w:rPr>
      </w:pPr>
    </w:p>
    <w:p w14:paraId="02EF0FD6" w14:textId="79DBD47C" w:rsidR="00922953" w:rsidRPr="006546C3" w:rsidRDefault="009A64E6" w:rsidP="006546C3">
      <w:pPr>
        <w:spacing w:after="0" w:line="240" w:lineRule="auto"/>
        <w:rPr>
          <w:rFonts w:cstheme="minorHAnsi"/>
        </w:rPr>
      </w:pPr>
      <w:r w:rsidRPr="006546C3">
        <w:rPr>
          <w:rFonts w:cstheme="minorHAnsi"/>
        </w:rPr>
        <w:t xml:space="preserve">16. Upon successful completion of the assessment, select the </w:t>
      </w:r>
      <w:r w:rsidRPr="006546C3">
        <w:rPr>
          <w:rFonts w:cstheme="minorHAnsi"/>
          <w:b/>
          <w:bCs/>
        </w:rPr>
        <w:t>Menu</w:t>
      </w:r>
      <w:r w:rsidRPr="006546C3">
        <w:rPr>
          <w:rFonts w:cstheme="minorHAnsi"/>
        </w:rPr>
        <w:t xml:space="preserve"> drop-down located at the top right of the navigation bar, to the right of the user’s name and select </w:t>
      </w:r>
      <w:r w:rsidRPr="006546C3">
        <w:rPr>
          <w:rFonts w:cstheme="minorHAnsi"/>
          <w:b/>
          <w:bCs/>
        </w:rPr>
        <w:t>My Classes</w:t>
      </w:r>
      <w:r w:rsidRPr="006546C3">
        <w:rPr>
          <w:rFonts w:cstheme="minorHAnsi"/>
        </w:rPr>
        <w:t xml:space="preserve"> from the option provided to return to the PD Center main page.</w:t>
      </w:r>
    </w:p>
    <w:sectPr w:rsidR="00922953" w:rsidRPr="006546C3" w:rsidSect="006546C3">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E6"/>
    <w:rsid w:val="005F0554"/>
    <w:rsid w:val="006546C3"/>
    <w:rsid w:val="00922953"/>
    <w:rsid w:val="009A64E6"/>
    <w:rsid w:val="00A00E29"/>
    <w:rsid w:val="00C3339F"/>
    <w:rsid w:val="00E3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800B"/>
  <w15:chartTrackingRefBased/>
  <w15:docId w15:val="{7E142E89-606E-4C34-A4FB-C5655699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39F"/>
    <w:rPr>
      <w:color w:val="0563C1" w:themeColor="hyperlink"/>
      <w:u w:val="single"/>
    </w:rPr>
  </w:style>
  <w:style w:type="character" w:styleId="UnresolvedMention">
    <w:name w:val="Unresolved Mention"/>
    <w:basedOn w:val="DefaultParagraphFont"/>
    <w:uiPriority w:val="99"/>
    <w:semiHidden/>
    <w:unhideWhenUsed/>
    <w:rsid w:val="00C3339F"/>
    <w:rPr>
      <w:color w:val="605E5C"/>
      <w:shd w:val="clear" w:color="auto" w:fill="E1DFDD"/>
    </w:rPr>
  </w:style>
  <w:style w:type="character" w:styleId="FollowedHyperlink">
    <w:name w:val="FollowedHyperlink"/>
    <w:basedOn w:val="DefaultParagraphFont"/>
    <w:uiPriority w:val="99"/>
    <w:semiHidden/>
    <w:unhideWhenUsed/>
    <w:rsid w:val="00C3339F"/>
    <w:rPr>
      <w:color w:val="954F72" w:themeColor="followedHyperlink"/>
      <w:u w:val="single"/>
    </w:rPr>
  </w:style>
  <w:style w:type="paragraph" w:styleId="ListParagraph">
    <w:name w:val="List Paragraph"/>
    <w:basedOn w:val="Normal"/>
    <w:uiPriority w:val="34"/>
    <w:qFormat/>
    <w:rsid w:val="00C33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1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desas.org/default.aspx%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Mento</dc:creator>
  <cp:keywords/>
  <dc:description/>
  <cp:lastModifiedBy>Jacquelyn Mento</cp:lastModifiedBy>
  <cp:revision>5</cp:revision>
  <dcterms:created xsi:type="dcterms:W3CDTF">2021-02-05T17:29:00Z</dcterms:created>
  <dcterms:modified xsi:type="dcterms:W3CDTF">2021-02-05T18:30:00Z</dcterms:modified>
</cp:coreProperties>
</file>